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EAA1" w14:textId="5FD7A639" w:rsidR="00DD46AA" w:rsidRDefault="00DD46AA" w:rsidP="00DD46AA">
      <w:pPr>
        <w:tabs>
          <w:tab w:val="left" w:pos="5325"/>
        </w:tabs>
      </w:pPr>
      <w:r>
        <w:t xml:space="preserve">CDSLT maintains a high level of professional and business standards, ethical standards, and overall commitment to comply with all laws governing its various operations.  CDSLT has established policies to detect and prevent </w:t>
      </w:r>
      <w:r w:rsidR="0008459A">
        <w:t xml:space="preserve">Medicaid misconduct, </w:t>
      </w:r>
      <w:r>
        <w:t xml:space="preserve">fraud, </w:t>
      </w:r>
      <w:r w:rsidR="0008459A">
        <w:t>or</w:t>
      </w:r>
      <w:r>
        <w:t xml:space="preserve"> abuse in accordance with applicable regulations including but not limited to:</w:t>
      </w:r>
    </w:p>
    <w:p w14:paraId="017FCF32" w14:textId="1BC2B34F" w:rsidR="00DD46AA" w:rsidRDefault="00DD46AA" w:rsidP="00DD46AA">
      <w:pPr>
        <w:tabs>
          <w:tab w:val="left" w:pos="5325"/>
        </w:tabs>
        <w:spacing w:after="0"/>
      </w:pPr>
      <w:r>
        <w:t>Federal False Claims Act (31 U.S.C. 3729-3733</w:t>
      </w:r>
    </w:p>
    <w:p w14:paraId="17659C31" w14:textId="1391E30C" w:rsidR="00DD46AA" w:rsidRDefault="00DD46AA" w:rsidP="00DD46AA">
      <w:pPr>
        <w:tabs>
          <w:tab w:val="left" w:pos="5325"/>
        </w:tabs>
        <w:spacing w:after="0"/>
      </w:pPr>
      <w:r>
        <w:t>Administrative Remedies for False Claims (31 USC Chapter 38 33801-3812)</w:t>
      </w:r>
    </w:p>
    <w:p w14:paraId="5EC001D0" w14:textId="3A9618DE" w:rsidR="00DD46AA" w:rsidRDefault="00DD46AA" w:rsidP="00DD46AA">
      <w:pPr>
        <w:tabs>
          <w:tab w:val="left" w:pos="5325"/>
        </w:tabs>
        <w:spacing w:after="0"/>
      </w:pPr>
      <w:r>
        <w:t>New York State False Claims Act (State Finance Law 187-194)</w:t>
      </w:r>
    </w:p>
    <w:p w14:paraId="2B44E0E7" w14:textId="63A36DEC" w:rsidR="00DD46AA" w:rsidRDefault="00DD46AA" w:rsidP="00DD46AA">
      <w:pPr>
        <w:tabs>
          <w:tab w:val="left" w:pos="5325"/>
        </w:tabs>
        <w:spacing w:after="0"/>
      </w:pPr>
      <w:r>
        <w:t>New York State Providers Compliance Section 521, Title 18</w:t>
      </w:r>
    </w:p>
    <w:p w14:paraId="0FBCE2B6" w14:textId="5C5209C7" w:rsidR="00757EBD" w:rsidRDefault="00757EBD" w:rsidP="00DD46AA">
      <w:pPr>
        <w:tabs>
          <w:tab w:val="left" w:pos="5325"/>
        </w:tabs>
        <w:spacing w:after="0"/>
      </w:pPr>
    </w:p>
    <w:p w14:paraId="524DF0D5" w14:textId="5D4E28B1" w:rsidR="00757EBD" w:rsidRDefault="00757EBD" w:rsidP="00757EBD">
      <w:pPr>
        <w:tabs>
          <w:tab w:val="left" w:pos="5325"/>
        </w:tabs>
        <w:spacing w:after="0"/>
      </w:pPr>
      <w:r>
        <w:t>All contractors, consultants, and vendors are required to promptly report suspected</w:t>
      </w:r>
      <w:r w:rsidR="0008459A">
        <w:t xml:space="preserve"> Medicaid misconduct, </w:t>
      </w:r>
      <w:r>
        <w:t>fraud</w:t>
      </w:r>
      <w:r w:rsidR="0008459A">
        <w:t>,</w:t>
      </w:r>
      <w:r>
        <w:t xml:space="preserve"> or abuse.  Failure to report suspected fraud, waste, or abuse may result in termination of contracted relationship with CDSLT.</w:t>
      </w:r>
    </w:p>
    <w:p w14:paraId="70B887EF" w14:textId="77777777" w:rsidR="00757EBD" w:rsidRDefault="00757EBD" w:rsidP="00757EBD">
      <w:pPr>
        <w:tabs>
          <w:tab w:val="left" w:pos="5325"/>
        </w:tabs>
        <w:spacing w:after="0"/>
        <w:rPr>
          <w:b/>
          <w:bCs/>
          <w:u w:val="single"/>
        </w:rPr>
      </w:pPr>
    </w:p>
    <w:p w14:paraId="1F4EB62E" w14:textId="24AE9248" w:rsidR="0008459A" w:rsidRPr="009E37D2" w:rsidRDefault="0008459A" w:rsidP="0008459A">
      <w:pPr>
        <w:pStyle w:val="NoSpacing"/>
        <w:jc w:val="both"/>
        <w:rPr>
          <w:rFonts w:cstheme="minorHAnsi"/>
        </w:rPr>
      </w:pPr>
      <w:r w:rsidRPr="009E37D2">
        <w:rPr>
          <w:rFonts w:cstheme="minorHAnsi"/>
        </w:rPr>
        <w:t xml:space="preserve">Several communication lines are available for reporting suspected allegations of fraud, waste, abuse, false </w:t>
      </w:r>
      <w:r w:rsidR="009E37D2" w:rsidRPr="009E37D2">
        <w:rPr>
          <w:rFonts w:cstheme="minorHAnsi"/>
        </w:rPr>
        <w:t>claims,</w:t>
      </w:r>
      <w:r w:rsidRPr="009E37D2">
        <w:rPr>
          <w:rFonts w:cstheme="minorHAnsi"/>
        </w:rPr>
        <w:t xml:space="preserve"> or ethical violations. Reporting may be made confidentially and anonymously. </w:t>
      </w:r>
    </w:p>
    <w:p w14:paraId="29AFD4D6" w14:textId="77777777" w:rsidR="0008459A" w:rsidRPr="009E37D2" w:rsidRDefault="0008459A" w:rsidP="0008459A">
      <w:pPr>
        <w:pStyle w:val="NoSpacing"/>
        <w:jc w:val="both"/>
        <w:rPr>
          <w:rFonts w:cstheme="minorHAnsi"/>
        </w:rPr>
      </w:pPr>
    </w:p>
    <w:p w14:paraId="5984CC37" w14:textId="23E6D9F0" w:rsidR="0008459A" w:rsidRPr="009E37D2" w:rsidRDefault="0008459A" w:rsidP="00DA7910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9E37D2">
        <w:rPr>
          <w:rFonts w:cstheme="minorHAnsi"/>
          <w:bCs/>
        </w:rPr>
        <w:t>CDSLT Compliance Hotline</w:t>
      </w:r>
      <w:r w:rsidRPr="009E37D2">
        <w:rPr>
          <w:rFonts w:cstheme="minorHAnsi"/>
        </w:rPr>
        <w:t xml:space="preserve">: </w:t>
      </w:r>
      <w:r w:rsidR="00E72258">
        <w:rPr>
          <w:rFonts w:cstheme="minorHAnsi"/>
        </w:rPr>
        <w:t>1-833-202-5117 (English) or 1-800-216-1288 (Spanish)</w:t>
      </w:r>
    </w:p>
    <w:p w14:paraId="569B35D7" w14:textId="77777777" w:rsidR="0008459A" w:rsidRPr="009E37D2" w:rsidRDefault="0008459A" w:rsidP="0008459A">
      <w:pPr>
        <w:pStyle w:val="NoSpacing"/>
        <w:ind w:left="1440"/>
        <w:jc w:val="both"/>
        <w:rPr>
          <w:rFonts w:cstheme="minorHAnsi"/>
        </w:rPr>
      </w:pPr>
    </w:p>
    <w:p w14:paraId="6A1252AB" w14:textId="3AA947FD" w:rsidR="00DA7910" w:rsidRDefault="00DA7910" w:rsidP="00DA7910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Confidentially in person</w:t>
      </w:r>
    </w:p>
    <w:p w14:paraId="04A1474A" w14:textId="77777777" w:rsidR="00DA7910" w:rsidRPr="00DA7910" w:rsidRDefault="00DA7910" w:rsidP="00DA7910">
      <w:pPr>
        <w:pStyle w:val="NoSpacing"/>
        <w:ind w:left="360"/>
        <w:jc w:val="both"/>
        <w:rPr>
          <w:rFonts w:cstheme="minorHAnsi"/>
        </w:rPr>
      </w:pPr>
    </w:p>
    <w:p w14:paraId="1B6D6D79" w14:textId="1C079601" w:rsidR="0008459A" w:rsidRPr="009E37D2" w:rsidRDefault="0008459A" w:rsidP="00DA7910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9E37D2">
        <w:rPr>
          <w:rFonts w:cstheme="minorHAnsi"/>
          <w:bCs/>
        </w:rPr>
        <w:t>In writing</w:t>
      </w:r>
      <w:r w:rsidRPr="009E37D2">
        <w:rPr>
          <w:rFonts w:cstheme="minorHAnsi"/>
        </w:rPr>
        <w:t xml:space="preserve">: </w:t>
      </w:r>
      <w:r w:rsidRPr="009E37D2">
        <w:rPr>
          <w:rFonts w:cstheme="minorHAnsi"/>
        </w:rPr>
        <w:tab/>
        <w:t xml:space="preserve">CDSLT Compliance Officer </w:t>
      </w:r>
    </w:p>
    <w:p w14:paraId="500D71CE" w14:textId="77777777" w:rsidR="0008459A" w:rsidRPr="009E37D2" w:rsidRDefault="0008459A" w:rsidP="00DA7910">
      <w:pPr>
        <w:pStyle w:val="NoSpacing"/>
        <w:ind w:left="2160"/>
        <w:jc w:val="both"/>
        <w:rPr>
          <w:rFonts w:cstheme="minorHAnsi"/>
        </w:rPr>
      </w:pPr>
      <w:r w:rsidRPr="009E37D2">
        <w:rPr>
          <w:rFonts w:cstheme="minorHAnsi"/>
        </w:rPr>
        <w:t>860 Hard Road</w:t>
      </w:r>
    </w:p>
    <w:p w14:paraId="2ED3C42E" w14:textId="77777777" w:rsidR="0008459A" w:rsidRPr="009E37D2" w:rsidRDefault="0008459A" w:rsidP="00DA7910">
      <w:pPr>
        <w:pStyle w:val="NoSpacing"/>
        <w:ind w:left="2160"/>
        <w:jc w:val="both"/>
        <w:rPr>
          <w:rFonts w:cstheme="minorHAnsi"/>
        </w:rPr>
      </w:pPr>
      <w:r w:rsidRPr="009E37D2">
        <w:rPr>
          <w:rFonts w:cstheme="minorHAnsi"/>
        </w:rPr>
        <w:t>Webster, New York 14580</w:t>
      </w:r>
    </w:p>
    <w:p w14:paraId="0D19D21C" w14:textId="77777777" w:rsidR="0008459A" w:rsidRPr="009E37D2" w:rsidRDefault="0008459A" w:rsidP="0008459A">
      <w:pPr>
        <w:pStyle w:val="NoSpacing"/>
        <w:ind w:left="1440" w:firstLine="720"/>
        <w:jc w:val="both"/>
        <w:rPr>
          <w:rFonts w:cstheme="minorHAnsi"/>
        </w:rPr>
      </w:pPr>
    </w:p>
    <w:p w14:paraId="071C8C0E" w14:textId="6F47371A" w:rsidR="00DA7910" w:rsidRPr="00DA7910" w:rsidRDefault="0008459A" w:rsidP="00DA7910">
      <w:pPr>
        <w:pStyle w:val="NoSpacing"/>
        <w:numPr>
          <w:ilvl w:val="0"/>
          <w:numId w:val="7"/>
        </w:numPr>
        <w:jc w:val="both"/>
        <w:rPr>
          <w:rStyle w:val="Hyperlink"/>
          <w:rFonts w:cstheme="minorHAnsi"/>
        </w:rPr>
      </w:pPr>
      <w:r w:rsidRPr="00DA7910">
        <w:rPr>
          <w:rFonts w:cstheme="minorHAnsi"/>
        </w:rPr>
        <w:t>By Email</w:t>
      </w:r>
      <w:r w:rsidRPr="009E37D2">
        <w:rPr>
          <w:rFonts w:cstheme="minorHAnsi"/>
        </w:rPr>
        <w:t>:</w:t>
      </w:r>
      <w:r w:rsidRPr="009E37D2">
        <w:rPr>
          <w:rFonts w:cstheme="minorHAnsi"/>
        </w:rPr>
        <w:tab/>
      </w:r>
      <w:hyperlink r:id="rId7" w:history="1">
        <w:r w:rsidRPr="009E37D2">
          <w:rPr>
            <w:rStyle w:val="Hyperlink"/>
            <w:rFonts w:cstheme="minorHAnsi"/>
          </w:rPr>
          <w:t>compliance@cdslt.org</w:t>
        </w:r>
      </w:hyperlink>
    </w:p>
    <w:p w14:paraId="40175C65" w14:textId="77777777" w:rsidR="00DA7910" w:rsidRDefault="00DA7910" w:rsidP="00DA7910">
      <w:pPr>
        <w:pStyle w:val="NoSpacing"/>
        <w:ind w:left="360"/>
        <w:jc w:val="both"/>
        <w:rPr>
          <w:rStyle w:val="Hyperlink"/>
          <w:rFonts w:cstheme="minorHAnsi"/>
          <w:color w:val="auto"/>
          <w:u w:val="none"/>
        </w:rPr>
      </w:pPr>
    </w:p>
    <w:p w14:paraId="026AEDF7" w14:textId="276F5310" w:rsidR="00DA7910" w:rsidRDefault="00DA7910" w:rsidP="00DA7910">
      <w:pPr>
        <w:pStyle w:val="NoSpacing"/>
        <w:numPr>
          <w:ilvl w:val="0"/>
          <w:numId w:val="7"/>
        </w:numPr>
        <w:jc w:val="both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>By Phone:</w:t>
      </w:r>
      <w:r>
        <w:rPr>
          <w:rStyle w:val="Hyperlink"/>
          <w:rFonts w:cstheme="minorHAnsi"/>
          <w:color w:val="auto"/>
          <w:u w:val="none"/>
        </w:rPr>
        <w:tab/>
        <w:t>585-347-1274</w:t>
      </w:r>
    </w:p>
    <w:p w14:paraId="45E9EFA7" w14:textId="77777777" w:rsidR="00DA7910" w:rsidRDefault="00DA7910" w:rsidP="00DA7910">
      <w:pPr>
        <w:pStyle w:val="NoSpacing"/>
        <w:ind w:left="360"/>
        <w:jc w:val="both"/>
        <w:rPr>
          <w:rStyle w:val="Hyperlink"/>
          <w:rFonts w:cstheme="minorHAnsi"/>
          <w:color w:val="auto"/>
          <w:u w:val="none"/>
        </w:rPr>
      </w:pPr>
    </w:p>
    <w:p w14:paraId="65FA648B" w14:textId="1078B957" w:rsidR="00DA7910" w:rsidRPr="00DA7910" w:rsidRDefault="00DA7910" w:rsidP="00DA7910">
      <w:pPr>
        <w:pStyle w:val="NoSpacing"/>
        <w:numPr>
          <w:ilvl w:val="0"/>
          <w:numId w:val="7"/>
        </w:numPr>
        <w:jc w:val="both"/>
        <w:rPr>
          <w:rStyle w:val="Hyperlink"/>
          <w:rFonts w:cstheme="minorHAnsi"/>
          <w:color w:val="auto"/>
          <w:u w:val="none"/>
        </w:rPr>
      </w:pPr>
      <w:r w:rsidRPr="00DA7910">
        <w:rPr>
          <w:rStyle w:val="Hyperlink"/>
          <w:rFonts w:cstheme="minorHAnsi"/>
          <w:color w:val="auto"/>
          <w:u w:val="none"/>
        </w:rPr>
        <w:t>By Fax</w:t>
      </w:r>
      <w:r>
        <w:rPr>
          <w:rStyle w:val="Hyperlink"/>
          <w:rFonts w:cstheme="minorHAnsi"/>
          <w:color w:val="auto"/>
          <w:u w:val="none"/>
        </w:rPr>
        <w:t xml:space="preserve">: </w:t>
      </w:r>
      <w:r>
        <w:rPr>
          <w:rStyle w:val="Hyperlink"/>
          <w:rFonts w:cstheme="minorHAnsi"/>
          <w:color w:val="auto"/>
          <w:u w:val="none"/>
        </w:rPr>
        <w:tab/>
      </w:r>
      <w:r>
        <w:rPr>
          <w:rStyle w:val="Hyperlink"/>
          <w:rFonts w:cstheme="minorHAnsi"/>
          <w:color w:val="auto"/>
          <w:u w:val="none"/>
        </w:rPr>
        <w:tab/>
        <w:t>585-347-1262</w:t>
      </w:r>
    </w:p>
    <w:p w14:paraId="7A5FFBEC" w14:textId="77777777" w:rsidR="0008459A" w:rsidRPr="009E37D2" w:rsidRDefault="0008459A" w:rsidP="0008459A">
      <w:pPr>
        <w:pStyle w:val="NoSpacing"/>
        <w:ind w:left="720"/>
        <w:jc w:val="both"/>
        <w:rPr>
          <w:rFonts w:cstheme="minorHAnsi"/>
        </w:rPr>
      </w:pPr>
    </w:p>
    <w:p w14:paraId="4F50788E" w14:textId="77777777" w:rsidR="0008459A" w:rsidRPr="009E37D2" w:rsidRDefault="0008459A" w:rsidP="00DA7910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9E37D2">
        <w:rPr>
          <w:rFonts w:cstheme="minorHAnsi"/>
        </w:rPr>
        <w:t>Office of the Medicaid Inspector General (OMIG):</w:t>
      </w:r>
    </w:p>
    <w:p w14:paraId="5D2DC81C" w14:textId="77777777" w:rsidR="0008459A" w:rsidRPr="009E37D2" w:rsidRDefault="0008459A" w:rsidP="00DA7910">
      <w:pPr>
        <w:pStyle w:val="NoSpacing"/>
        <w:numPr>
          <w:ilvl w:val="1"/>
          <w:numId w:val="7"/>
        </w:numPr>
        <w:jc w:val="both"/>
        <w:rPr>
          <w:rFonts w:cstheme="minorHAnsi"/>
        </w:rPr>
      </w:pPr>
      <w:r w:rsidRPr="009E37D2">
        <w:rPr>
          <w:rFonts w:cstheme="minorHAnsi"/>
        </w:rPr>
        <w:t xml:space="preserve">1-877-87FRAUD (1-877-873-7283) or </w:t>
      </w:r>
    </w:p>
    <w:p w14:paraId="4062C2EC" w14:textId="77777777" w:rsidR="0008459A" w:rsidRPr="009E37D2" w:rsidRDefault="00000000" w:rsidP="00DA7910">
      <w:pPr>
        <w:pStyle w:val="NoSpacing"/>
        <w:numPr>
          <w:ilvl w:val="1"/>
          <w:numId w:val="7"/>
        </w:numPr>
        <w:jc w:val="both"/>
        <w:rPr>
          <w:rFonts w:cstheme="minorHAnsi"/>
        </w:rPr>
      </w:pPr>
      <w:hyperlink r:id="rId8" w:history="1">
        <w:r w:rsidR="0008459A" w:rsidRPr="009E37D2">
          <w:rPr>
            <w:rStyle w:val="Hyperlink"/>
            <w:rFonts w:cstheme="minorHAnsi"/>
          </w:rPr>
          <w:t>www.omig.ny.gov/</w:t>
        </w:r>
      </w:hyperlink>
      <w:r w:rsidR="0008459A" w:rsidRPr="009E37D2">
        <w:rPr>
          <w:rFonts w:cstheme="minorHAnsi"/>
        </w:rPr>
        <w:t xml:space="preserve">   </w:t>
      </w:r>
    </w:p>
    <w:p w14:paraId="141408B1" w14:textId="77777777" w:rsidR="009E37D2" w:rsidRDefault="009E37D2" w:rsidP="00DD46AA">
      <w:pPr>
        <w:tabs>
          <w:tab w:val="left" w:pos="5325"/>
        </w:tabs>
      </w:pPr>
    </w:p>
    <w:p w14:paraId="44D84FA1" w14:textId="1A3F93C1" w:rsidR="00DD46AA" w:rsidRDefault="00EE75AB" w:rsidP="00DD46AA">
      <w:pPr>
        <w:tabs>
          <w:tab w:val="left" w:pos="5325"/>
        </w:tabs>
      </w:pPr>
      <w:r>
        <w:t xml:space="preserve">CDSLT </w:t>
      </w:r>
      <w:r w:rsidR="009E37D2">
        <w:t xml:space="preserve">has an established </w:t>
      </w:r>
      <w:r>
        <w:t xml:space="preserve">Compliance Program Plan </w:t>
      </w:r>
      <w:r w:rsidR="009E37D2">
        <w:t xml:space="preserve">which </w:t>
      </w:r>
      <w:r>
        <w:t>is available on CDSLT website.</w:t>
      </w:r>
      <w:r w:rsidR="0008459A">
        <w:t xml:space="preserve">  </w:t>
      </w:r>
      <w:hyperlink r:id="rId9" w:history="1">
        <w:r w:rsidR="0008459A" w:rsidRPr="004018C7">
          <w:rPr>
            <w:rStyle w:val="Hyperlink"/>
          </w:rPr>
          <w:t>www.cdslifetransitions.org</w:t>
        </w:r>
      </w:hyperlink>
    </w:p>
    <w:p w14:paraId="484500E1" w14:textId="182AA132" w:rsidR="009E37D2" w:rsidRDefault="009E37D2" w:rsidP="009E37D2">
      <w:pPr>
        <w:tabs>
          <w:tab w:val="left" w:pos="5325"/>
        </w:tabs>
        <w:spacing w:after="0"/>
        <w:rPr>
          <w:b/>
          <w:bCs/>
          <w:u w:val="single"/>
        </w:rPr>
      </w:pPr>
      <w:r w:rsidRPr="00757EBD">
        <w:rPr>
          <w:b/>
          <w:bCs/>
          <w:u w:val="single"/>
        </w:rPr>
        <w:t>EXCLUSION SCREENING:</w:t>
      </w:r>
    </w:p>
    <w:p w14:paraId="7D85ED52" w14:textId="2DF6F448" w:rsidR="00714E9D" w:rsidRDefault="00C01EA3" w:rsidP="00714E9D">
      <w:r>
        <w:t xml:space="preserve">All contractors, consultants, and vendors are subject to </w:t>
      </w:r>
      <w:r w:rsidR="00F6163E">
        <w:t xml:space="preserve">an initial and monthly Exclusion Screening as required by HIPAA Regulation 45 CFR 164.502(e), 164.504(e), 164.532(d) &amp; (e).  </w:t>
      </w:r>
      <w:r w:rsidR="00714E9D">
        <w:t xml:space="preserve">If at any time an exclusion is reported, the contractor, vendor, or consultant may not continue to provide services to CDSLT. </w:t>
      </w:r>
    </w:p>
    <w:p w14:paraId="3676B5FC" w14:textId="77777777" w:rsidR="00C01EA3" w:rsidRPr="00757EBD" w:rsidRDefault="00C01EA3" w:rsidP="009E37D2">
      <w:pPr>
        <w:tabs>
          <w:tab w:val="left" w:pos="5325"/>
        </w:tabs>
        <w:spacing w:after="0"/>
        <w:rPr>
          <w:b/>
          <w:bCs/>
          <w:u w:val="single"/>
        </w:rPr>
      </w:pPr>
    </w:p>
    <w:p w14:paraId="42D6DF65" w14:textId="77777777" w:rsidR="009E37D2" w:rsidRDefault="009E37D2" w:rsidP="00DD46AA">
      <w:pPr>
        <w:tabs>
          <w:tab w:val="left" w:pos="5325"/>
        </w:tabs>
      </w:pPr>
    </w:p>
    <w:p w14:paraId="0FAEDAD3" w14:textId="77777777" w:rsidR="0008459A" w:rsidRPr="00DD46AA" w:rsidRDefault="0008459A" w:rsidP="00DD46AA">
      <w:pPr>
        <w:tabs>
          <w:tab w:val="left" w:pos="5325"/>
        </w:tabs>
      </w:pPr>
    </w:p>
    <w:sectPr w:rsidR="0008459A" w:rsidRPr="00DD46AA" w:rsidSect="00EE75AB">
      <w:headerReference w:type="default" r:id="rId10"/>
      <w:footerReference w:type="default" r:id="rId11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63E6" w14:textId="77777777" w:rsidR="00CC73CC" w:rsidRDefault="00CC73CC" w:rsidP="00DD46AA">
      <w:pPr>
        <w:spacing w:after="0" w:line="240" w:lineRule="auto"/>
      </w:pPr>
      <w:r>
        <w:separator/>
      </w:r>
    </w:p>
  </w:endnote>
  <w:endnote w:type="continuationSeparator" w:id="0">
    <w:p w14:paraId="27C682F6" w14:textId="77777777" w:rsidR="00CC73CC" w:rsidRDefault="00CC73CC" w:rsidP="00DD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FED0" w14:textId="144F4EEE" w:rsidR="007C2FF5" w:rsidRDefault="007C2FF5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EF20" w14:textId="77777777" w:rsidR="00CC73CC" w:rsidRDefault="00CC73CC" w:rsidP="00DD46AA">
      <w:pPr>
        <w:spacing w:after="0" w:line="240" w:lineRule="auto"/>
      </w:pPr>
      <w:r>
        <w:separator/>
      </w:r>
    </w:p>
  </w:footnote>
  <w:footnote w:type="continuationSeparator" w:id="0">
    <w:p w14:paraId="7FD7B0EE" w14:textId="77777777" w:rsidR="00CC73CC" w:rsidRDefault="00CC73CC" w:rsidP="00DD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3493" w14:textId="1D1DEB02" w:rsidR="00DD46AA" w:rsidRDefault="00E426A6" w:rsidP="00D366F8">
    <w:pPr>
      <w:pStyle w:val="Head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180FD1" wp14:editId="0E960969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1805305" cy="401320"/>
          <wp:effectExtent l="0" t="0" r="444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30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6AA">
      <w:t>Fraud, Waste, and Abuse</w:t>
    </w:r>
  </w:p>
  <w:p w14:paraId="35405DBB" w14:textId="0DBDD296" w:rsidR="00DD46AA" w:rsidRDefault="00D366F8">
    <w:pPr>
      <w:pStyle w:val="Header"/>
    </w:pPr>
    <w:r>
      <w:tab/>
    </w:r>
    <w:r w:rsidR="00DD46AA">
      <w:t>Contractors</w:t>
    </w:r>
  </w:p>
  <w:p w14:paraId="44B2ABF5" w14:textId="77777777" w:rsidR="00EE75AB" w:rsidRDefault="00EE75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7DD2"/>
    <w:multiLevelType w:val="hybridMultilevel"/>
    <w:tmpl w:val="701C61CC"/>
    <w:lvl w:ilvl="0" w:tplc="2EE8C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01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AF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529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0C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EF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E1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60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49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C35F5A"/>
    <w:multiLevelType w:val="hybridMultilevel"/>
    <w:tmpl w:val="BC4C5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93F03"/>
    <w:multiLevelType w:val="hybridMultilevel"/>
    <w:tmpl w:val="358496D4"/>
    <w:lvl w:ilvl="0" w:tplc="F1ACF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68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CC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6F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4B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C3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41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4E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AF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D15935"/>
    <w:multiLevelType w:val="hybridMultilevel"/>
    <w:tmpl w:val="4292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F6404"/>
    <w:multiLevelType w:val="hybridMultilevel"/>
    <w:tmpl w:val="8072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563FB"/>
    <w:multiLevelType w:val="hybridMultilevel"/>
    <w:tmpl w:val="BE5A1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30EB7"/>
    <w:multiLevelType w:val="hybridMultilevel"/>
    <w:tmpl w:val="EB1A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192558">
    <w:abstractNumId w:val="5"/>
  </w:num>
  <w:num w:numId="2" w16cid:durableId="1588418846">
    <w:abstractNumId w:val="2"/>
  </w:num>
  <w:num w:numId="3" w16cid:durableId="2102295106">
    <w:abstractNumId w:val="0"/>
  </w:num>
  <w:num w:numId="4" w16cid:durableId="1260672596">
    <w:abstractNumId w:val="6"/>
  </w:num>
  <w:num w:numId="5" w16cid:durableId="1106466454">
    <w:abstractNumId w:val="4"/>
  </w:num>
  <w:num w:numId="6" w16cid:durableId="1015569648">
    <w:abstractNumId w:val="1"/>
  </w:num>
  <w:num w:numId="7" w16cid:durableId="277571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AA"/>
    <w:rsid w:val="0008459A"/>
    <w:rsid w:val="001D2CE4"/>
    <w:rsid w:val="00233205"/>
    <w:rsid w:val="00714E9D"/>
    <w:rsid w:val="00757EBD"/>
    <w:rsid w:val="007C2FF5"/>
    <w:rsid w:val="00930B5E"/>
    <w:rsid w:val="009A670B"/>
    <w:rsid w:val="009D2CBB"/>
    <w:rsid w:val="009E37D2"/>
    <w:rsid w:val="00A67D87"/>
    <w:rsid w:val="00C01EA3"/>
    <w:rsid w:val="00CC73CC"/>
    <w:rsid w:val="00D366F8"/>
    <w:rsid w:val="00DA7910"/>
    <w:rsid w:val="00DD46AA"/>
    <w:rsid w:val="00E426A6"/>
    <w:rsid w:val="00E72258"/>
    <w:rsid w:val="00EE75AB"/>
    <w:rsid w:val="00F6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F667F"/>
  <w15:chartTrackingRefBased/>
  <w15:docId w15:val="{D1BD542B-2F92-432D-AE2B-51BACD08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6AA"/>
  </w:style>
  <w:style w:type="paragraph" w:styleId="Footer">
    <w:name w:val="footer"/>
    <w:basedOn w:val="Normal"/>
    <w:link w:val="FooterChar"/>
    <w:uiPriority w:val="99"/>
    <w:unhideWhenUsed/>
    <w:rsid w:val="00DD4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AA"/>
  </w:style>
  <w:style w:type="character" w:styleId="Hyperlink">
    <w:name w:val="Hyperlink"/>
    <w:uiPriority w:val="99"/>
    <w:unhideWhenUsed/>
    <w:rsid w:val="00757EB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5AB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08459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8459A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0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1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0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0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1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ig.ny.g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liance@cdsl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dslifetransition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Carra</dc:creator>
  <cp:keywords/>
  <dc:description/>
  <cp:lastModifiedBy>Todd Pipitone</cp:lastModifiedBy>
  <cp:revision>2</cp:revision>
  <dcterms:created xsi:type="dcterms:W3CDTF">2024-08-16T15:51:00Z</dcterms:created>
  <dcterms:modified xsi:type="dcterms:W3CDTF">2024-08-16T15:51:00Z</dcterms:modified>
</cp:coreProperties>
</file>